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7DE620">
      <w:pPr>
        <w:jc w:val="both"/>
        <w:rPr>
          <w:rFonts w:ascii="Arial" w:hAnsi="Arial" w:cs="Arial"/>
        </w:rPr>
      </w:pPr>
      <w:r>
        <w:rPr>
          <w:rFonts w:ascii="Arial" w:hAnsi="Arial" w:cs="Arial"/>
          <w:b/>
          <w:bCs/>
        </w:rPr>
        <w:t>Contract No.:</w:t>
      </w:r>
      <w:r>
        <w:rPr>
          <w:rFonts w:hint="eastAsia" w:ascii="Arial" w:hAnsi="Arial" w:cs="Arial"/>
          <w:b/>
          <w:bCs/>
        </w:rPr>
        <w:t xml:space="preserve">                                           </w:t>
      </w:r>
      <w:r>
        <w:rPr>
          <w:rFonts w:ascii="Arial" w:hAnsi="Arial" w:cs="Arial"/>
        </w:rPr>
        <w:t xml:space="preserve"> </w:t>
      </w:r>
      <w:r>
        <w:rPr>
          <w:rFonts w:ascii="Arial" w:hAnsi="Arial" w:cs="Arial"/>
          <w:b/>
          <w:bCs/>
        </w:rPr>
        <w:t xml:space="preserve">(Manuscript No.: </w:t>
      </w:r>
      <w:r>
        <w:rPr>
          <w:rFonts w:hint="eastAsia" w:ascii="Arial" w:hAnsi="Arial" w:cs="Arial"/>
          <w:b/>
          <w:bCs/>
        </w:rPr>
        <w:t xml:space="preserve"> </w:t>
      </w:r>
      <w:r>
        <w:rPr>
          <w:rFonts w:ascii="Arial" w:hAnsi="Arial" w:cs="Arial"/>
          <w:b/>
          <w:bCs/>
        </w:rPr>
        <w:t>)</w:t>
      </w:r>
      <w:r>
        <w:rPr>
          <w:rFonts w:hint="eastAsia" w:ascii="Arial" w:hAnsi="Arial" w:cs="Arial"/>
        </w:rPr>
        <w:t xml:space="preserve">               </w:t>
      </w:r>
    </w:p>
    <w:p w14:paraId="51F23590">
      <w:pPr>
        <w:jc w:val="center"/>
        <w:rPr>
          <w:rFonts w:ascii="Arial" w:hAnsi="Arial" w:cs="Arial"/>
        </w:rPr>
      </w:pPr>
      <w:r>
        <w:rPr>
          <w:rFonts w:ascii="Arial" w:hAnsi="Arial" w:cs="Arial"/>
          <w:b/>
          <w:bCs/>
        </w:rPr>
        <w:t>Copyright Transfer Agreement</w:t>
      </w:r>
    </w:p>
    <w:p w14:paraId="53FDAA48">
      <w:pPr>
        <w:jc w:val="both"/>
        <w:rPr>
          <w:rFonts w:ascii="Arial" w:hAnsi="Arial" w:cs="Arial"/>
        </w:rPr>
      </w:pPr>
      <w:r>
        <w:rPr>
          <w:rFonts w:ascii="Arial" w:hAnsi="Arial" w:cs="Arial"/>
          <w:b/>
          <w:bCs/>
        </w:rPr>
        <w:t>Party A:</w:t>
      </w:r>
      <w:r>
        <w:rPr>
          <w:rFonts w:ascii="Arial" w:hAnsi="Arial" w:cs="Arial"/>
        </w:rPr>
        <w:br w:type="textWrapping"/>
      </w:r>
      <w:r>
        <w:rPr>
          <w:rFonts w:ascii="Arial" w:hAnsi="Arial" w:cs="Arial"/>
          <w:b/>
          <w:bCs/>
        </w:rPr>
        <w:t>Party B:</w:t>
      </w:r>
      <w:r>
        <w:rPr>
          <w:rFonts w:ascii="Arial" w:hAnsi="Arial" w:cs="Arial"/>
        </w:rPr>
        <w:t xml:space="preserve"> Editorial </w:t>
      </w:r>
      <w:r>
        <w:rPr>
          <w:rFonts w:hint="eastAsia" w:ascii="Arial" w:hAnsi="Arial" w:cs="Arial"/>
        </w:rPr>
        <w:t>Department</w:t>
      </w:r>
      <w:r>
        <w:rPr>
          <w:rFonts w:ascii="Arial" w:hAnsi="Arial" w:cs="Arial"/>
        </w:rPr>
        <w:t xml:space="preserve"> of </w:t>
      </w:r>
      <w:r>
        <w:rPr>
          <w:rFonts w:ascii="Arial" w:hAnsi="Arial" w:cs="Arial"/>
          <w:i/>
          <w:iCs/>
        </w:rPr>
        <w:t xml:space="preserve">Southern Power </w:t>
      </w:r>
      <w:r>
        <w:rPr>
          <w:rFonts w:hint="eastAsia" w:ascii="Arial" w:hAnsi="Arial" w:cs="Arial"/>
          <w:i/>
          <w:iCs/>
        </w:rPr>
        <w:t>System</w:t>
      </w:r>
      <w:r>
        <w:rPr>
          <w:rFonts w:ascii="Arial" w:hAnsi="Arial" w:cs="Arial"/>
          <w:i/>
          <w:iCs/>
        </w:rPr>
        <w:t xml:space="preserve"> Technology</w:t>
      </w:r>
      <w:r>
        <w:rPr>
          <w:rFonts w:ascii="Arial" w:hAnsi="Arial" w:cs="Arial"/>
        </w:rPr>
        <w:br w:type="textWrapping"/>
      </w:r>
      <w:r>
        <w:rPr>
          <w:rFonts w:ascii="Arial" w:hAnsi="Arial" w:cs="Arial"/>
          <w:b/>
          <w:bCs/>
        </w:rPr>
        <w:t xml:space="preserve">Title of the </w:t>
      </w:r>
      <w:r>
        <w:rPr>
          <w:rFonts w:hint="eastAsia" w:ascii="Arial" w:hAnsi="Arial" w:cs="Arial"/>
          <w:b/>
          <w:bCs/>
        </w:rPr>
        <w:t>Article</w:t>
      </w:r>
      <w:r>
        <w:rPr>
          <w:rFonts w:ascii="Arial" w:hAnsi="Arial" w:cs="Arial"/>
          <w:b/>
          <w:bCs/>
        </w:rPr>
        <w:t>:</w:t>
      </w:r>
      <w:bookmarkStart w:id="0" w:name="_GoBack"/>
      <w:bookmarkEnd w:id="0"/>
      <w:r>
        <w:rPr>
          <w:rFonts w:ascii="Arial" w:hAnsi="Arial" w:cs="Arial"/>
        </w:rPr>
        <w:br w:type="textWrapping"/>
      </w:r>
      <w:r>
        <w:rPr>
          <w:rFonts w:ascii="Arial" w:hAnsi="Arial" w:cs="Arial"/>
          <w:b/>
          <w:bCs/>
        </w:rPr>
        <w:t>Manuscript No.:</w:t>
      </w:r>
    </w:p>
    <w:p w14:paraId="457A653F">
      <w:pPr>
        <w:jc w:val="both"/>
        <w:rPr>
          <w:rFonts w:ascii="Arial" w:hAnsi="Arial" w:cs="Arial"/>
        </w:rPr>
      </w:pPr>
      <w:r>
        <w:rPr>
          <w:rFonts w:ascii="Arial" w:hAnsi="Arial" w:cs="Arial"/>
        </w:rPr>
        <w:t xml:space="preserve">To implement the </w:t>
      </w:r>
      <w:r>
        <w:rPr>
          <w:rFonts w:ascii="Arial" w:hAnsi="Arial" w:cs="Arial"/>
          <w:i/>
          <w:iCs/>
        </w:rPr>
        <w:t>Copyright Law of the People's Republic of China</w:t>
      </w:r>
      <w:r>
        <w:rPr>
          <w:rFonts w:ascii="Arial" w:hAnsi="Arial" w:cs="Arial"/>
        </w:rPr>
        <w:t xml:space="preserve"> and its implementing regulations, and to protect the legitimate rights and interests of both the authors and the editorial </w:t>
      </w:r>
      <w:r>
        <w:rPr>
          <w:rFonts w:hint="eastAsia" w:ascii="Arial" w:hAnsi="Arial" w:cs="Arial"/>
        </w:rPr>
        <w:t>department</w:t>
      </w:r>
      <w:r>
        <w:rPr>
          <w:rFonts w:ascii="Arial" w:hAnsi="Arial" w:cs="Arial"/>
        </w:rPr>
        <w:t>, Party A and Party B hereby agree on the transfer of copyright for the article as follows:</w:t>
      </w:r>
    </w:p>
    <w:p w14:paraId="038AFA9B">
      <w:pPr>
        <w:numPr>
          <w:ilvl w:val="0"/>
          <w:numId w:val="1"/>
        </w:numPr>
        <w:jc w:val="both"/>
        <w:rPr>
          <w:rFonts w:ascii="Arial" w:hAnsi="Arial" w:cs="Arial"/>
        </w:rPr>
      </w:pPr>
      <w:r>
        <w:rPr>
          <w:rFonts w:ascii="Arial" w:hAnsi="Arial" w:cs="Arial"/>
        </w:rPr>
        <w:t xml:space="preserve">From the date of signing, Party A transfers the copyright of the </w:t>
      </w:r>
      <w:r>
        <w:rPr>
          <w:rFonts w:hint="eastAsia" w:ascii="Arial" w:hAnsi="Arial" w:cs="Arial"/>
        </w:rPr>
        <w:t>article</w:t>
      </w:r>
      <w:r>
        <w:rPr>
          <w:rFonts w:ascii="Arial" w:hAnsi="Arial" w:cs="Arial"/>
        </w:rPr>
        <w:t xml:space="preserve"> titled “______” (including both print and electronic versions) to Party B. This includes, but is not limited to, the following rights: the right of reproduction, distribution, online dissemination, translation, compilation, online publishing and information dissemination; the right to authorize inclusion in domestic and international literature indexing systems, online platforms, and database systems; the right to publish and use the </w:t>
      </w:r>
      <w:r>
        <w:rPr>
          <w:rFonts w:hint="eastAsia" w:ascii="Arial" w:hAnsi="Arial" w:cs="Arial"/>
        </w:rPr>
        <w:t>article</w:t>
      </w:r>
      <w:r>
        <w:rPr>
          <w:rFonts w:ascii="Arial" w:hAnsi="Arial" w:cs="Arial"/>
        </w:rPr>
        <w:t xml:space="preserve"> through various media, formats, and in other languages; and the right to use the </w:t>
      </w:r>
      <w:r>
        <w:rPr>
          <w:rFonts w:hint="eastAsia" w:ascii="Arial" w:hAnsi="Arial" w:cs="Arial"/>
        </w:rPr>
        <w:t>article</w:t>
      </w:r>
      <w:r>
        <w:rPr>
          <w:rFonts w:ascii="Arial" w:hAnsi="Arial" w:cs="Arial"/>
        </w:rPr>
        <w:t xml:space="preserve"> in compliance with current and future laws of the People's Republic of China. Party A may use or share the published article under the CC BY-NC 4.0 license.</w:t>
      </w:r>
    </w:p>
    <w:p w14:paraId="05BCC230">
      <w:pPr>
        <w:numPr>
          <w:ilvl w:val="0"/>
          <w:numId w:val="1"/>
        </w:numPr>
        <w:jc w:val="both"/>
        <w:rPr>
          <w:rFonts w:ascii="Arial" w:hAnsi="Arial" w:cs="Arial"/>
        </w:rPr>
      </w:pPr>
      <w:r>
        <w:rPr>
          <w:rFonts w:ascii="Arial" w:hAnsi="Arial" w:cs="Arial"/>
        </w:rPr>
        <w:t>Party A agrees to the journal’s open access policy and permits third-party users to copy and distribute the work in any form or medium under the Attribution-NonCommercial (CC BY-NC 4.0) license.</w:t>
      </w:r>
    </w:p>
    <w:p w14:paraId="35724F8E">
      <w:pPr>
        <w:numPr>
          <w:ilvl w:val="0"/>
          <w:numId w:val="1"/>
        </w:numPr>
        <w:jc w:val="both"/>
        <w:rPr>
          <w:rFonts w:ascii="Arial" w:hAnsi="Arial" w:cs="Arial"/>
        </w:rPr>
      </w:pPr>
      <w:r>
        <w:rPr>
          <w:rFonts w:ascii="Arial" w:hAnsi="Arial" w:cs="Arial"/>
        </w:rPr>
        <w:t>Party A guarantees that the rights to the work are indisputable and that the content complies with relevant national confidentiality regulations. This guarantee includes, but is not limited to:</w:t>
      </w:r>
    </w:p>
    <w:p w14:paraId="7D62C330">
      <w:pPr>
        <w:numPr>
          <w:ilvl w:val="1"/>
          <w:numId w:val="1"/>
        </w:numPr>
        <w:jc w:val="both"/>
        <w:rPr>
          <w:rFonts w:ascii="Arial" w:hAnsi="Arial" w:cs="Arial"/>
        </w:rPr>
      </w:pPr>
      <w:r>
        <w:rPr>
          <w:rFonts w:ascii="Arial" w:hAnsi="Arial" w:cs="Arial"/>
        </w:rPr>
        <w:t xml:space="preserve">The </w:t>
      </w:r>
      <w:r>
        <w:rPr>
          <w:rFonts w:hint="eastAsia" w:ascii="Arial" w:hAnsi="Arial" w:cs="Arial"/>
        </w:rPr>
        <w:t>article</w:t>
      </w:r>
      <w:r>
        <w:rPr>
          <w:rFonts w:ascii="Arial" w:hAnsi="Arial" w:cs="Arial"/>
        </w:rPr>
        <w:t xml:space="preserve"> is the original work of the authors, free from intellectual property disputes, not submitted elsewhere, contains no confidential information, and has not been previously published in Chinese or any other language, domestically or internationally;</w:t>
      </w:r>
    </w:p>
    <w:p w14:paraId="50E70904">
      <w:pPr>
        <w:numPr>
          <w:ilvl w:val="1"/>
          <w:numId w:val="1"/>
        </w:numPr>
        <w:jc w:val="both"/>
        <w:rPr>
          <w:rFonts w:ascii="Arial" w:hAnsi="Arial" w:cs="Arial"/>
        </w:rPr>
      </w:pPr>
      <w:r>
        <w:rPr>
          <w:rFonts w:ascii="Arial" w:hAnsi="Arial" w:cs="Arial"/>
        </w:rPr>
        <w:t xml:space="preserve">All listed authors have made substantial contributions to the </w:t>
      </w:r>
      <w:r>
        <w:rPr>
          <w:rFonts w:hint="eastAsia" w:ascii="Arial" w:hAnsi="Arial" w:cs="Arial"/>
        </w:rPr>
        <w:t>article</w:t>
      </w:r>
      <w:r>
        <w:rPr>
          <w:rFonts w:ascii="Arial" w:hAnsi="Arial" w:cs="Arial"/>
        </w:rPr>
        <w:t>, and the authorship and order of authors are accurate and undisputed;</w:t>
      </w:r>
    </w:p>
    <w:p w14:paraId="4A51AC9A">
      <w:pPr>
        <w:numPr>
          <w:ilvl w:val="1"/>
          <w:numId w:val="1"/>
        </w:numPr>
        <w:jc w:val="both"/>
        <w:rPr>
          <w:rFonts w:ascii="Arial" w:hAnsi="Arial" w:cs="Arial"/>
        </w:rPr>
      </w:pPr>
      <w:r>
        <w:rPr>
          <w:rFonts w:ascii="Arial" w:hAnsi="Arial" w:cs="Arial"/>
        </w:rPr>
        <w:t xml:space="preserve">All facts in the </w:t>
      </w:r>
      <w:r>
        <w:rPr>
          <w:rFonts w:hint="eastAsia" w:ascii="Arial" w:hAnsi="Arial" w:cs="Arial"/>
        </w:rPr>
        <w:t>article</w:t>
      </w:r>
      <w:r>
        <w:rPr>
          <w:rFonts w:ascii="Arial" w:hAnsi="Arial" w:cs="Arial"/>
        </w:rPr>
        <w:t xml:space="preserve"> are true and accurate;</w:t>
      </w:r>
    </w:p>
    <w:p w14:paraId="3A577B18">
      <w:pPr>
        <w:numPr>
          <w:ilvl w:val="1"/>
          <w:numId w:val="1"/>
        </w:numPr>
        <w:jc w:val="both"/>
        <w:rPr>
          <w:rFonts w:ascii="Arial" w:hAnsi="Arial" w:cs="Arial"/>
        </w:rPr>
      </w:pPr>
      <w:r>
        <w:rPr>
          <w:rFonts w:ascii="Arial" w:hAnsi="Arial" w:cs="Arial"/>
        </w:rPr>
        <w:t>Proper citations have been made for all references to others' work;</w:t>
      </w:r>
    </w:p>
    <w:p w14:paraId="491A17D1">
      <w:pPr>
        <w:numPr>
          <w:ilvl w:val="1"/>
          <w:numId w:val="1"/>
        </w:numPr>
        <w:jc w:val="both"/>
        <w:rPr>
          <w:rFonts w:ascii="Arial" w:hAnsi="Arial" w:cs="Arial"/>
        </w:rPr>
      </w:pPr>
      <w:r>
        <w:rPr>
          <w:rFonts w:ascii="Arial" w:hAnsi="Arial" w:cs="Arial"/>
        </w:rPr>
        <w:t>The manuscript does not violate any copyright agreements Party A has with other publishing organizations or confidentiality agreements with affiliated institutions.</w:t>
      </w:r>
    </w:p>
    <w:p w14:paraId="09108D70">
      <w:pPr>
        <w:numPr>
          <w:ilvl w:val="0"/>
          <w:numId w:val="1"/>
        </w:numPr>
        <w:jc w:val="both"/>
        <w:rPr>
          <w:rFonts w:ascii="Arial" w:hAnsi="Arial" w:cs="Arial"/>
        </w:rPr>
      </w:pPr>
      <w:r>
        <w:rPr>
          <w:rFonts w:ascii="Arial" w:hAnsi="Arial" w:cs="Arial"/>
        </w:rPr>
        <w:t xml:space="preserve">Party A guarantees that the </w:t>
      </w:r>
      <w:r>
        <w:rPr>
          <w:rFonts w:hint="eastAsia" w:ascii="Arial" w:hAnsi="Arial" w:cs="Arial"/>
        </w:rPr>
        <w:t>article</w:t>
      </w:r>
      <w:r>
        <w:rPr>
          <w:rFonts w:ascii="Arial" w:hAnsi="Arial" w:cs="Arial"/>
        </w:rPr>
        <w:t xml:space="preserve"> does not infringe upon any legal rights of third parties.</w:t>
      </w:r>
    </w:p>
    <w:p w14:paraId="5B0EB35D">
      <w:pPr>
        <w:numPr>
          <w:ilvl w:val="0"/>
          <w:numId w:val="1"/>
        </w:numPr>
        <w:jc w:val="both"/>
        <w:rPr>
          <w:rFonts w:ascii="Arial" w:hAnsi="Arial" w:cs="Arial"/>
        </w:rPr>
      </w:pPr>
      <w:r>
        <w:rPr>
          <w:rFonts w:ascii="Arial" w:hAnsi="Arial" w:cs="Arial"/>
        </w:rPr>
        <w:t xml:space="preserve">After the </w:t>
      </w:r>
      <w:r>
        <w:rPr>
          <w:rFonts w:hint="eastAsia" w:ascii="Arial" w:hAnsi="Arial" w:cs="Arial"/>
        </w:rPr>
        <w:t>article</w:t>
      </w:r>
      <w:r>
        <w:rPr>
          <w:rFonts w:ascii="Arial" w:hAnsi="Arial" w:cs="Arial"/>
        </w:rPr>
        <w:t xml:space="preserve"> is first published in </w:t>
      </w:r>
      <w:r>
        <w:rPr>
          <w:rFonts w:ascii="Arial" w:hAnsi="Arial" w:cs="Arial"/>
          <w:i/>
          <w:iCs/>
        </w:rPr>
        <w:t xml:space="preserve">Southern Power </w:t>
      </w:r>
      <w:r>
        <w:rPr>
          <w:rFonts w:hint="eastAsia" w:ascii="Arial" w:hAnsi="Arial" w:cs="Arial"/>
          <w:i/>
          <w:iCs/>
        </w:rPr>
        <w:t>System</w:t>
      </w:r>
      <w:r>
        <w:rPr>
          <w:rFonts w:ascii="Arial" w:hAnsi="Arial" w:cs="Arial"/>
          <w:i/>
          <w:iCs/>
        </w:rPr>
        <w:t xml:space="preserve"> Technology</w:t>
      </w:r>
      <w:r>
        <w:rPr>
          <w:rFonts w:ascii="Arial" w:hAnsi="Arial" w:cs="Arial"/>
        </w:rPr>
        <w:t>, Party B will make a one-time payment to Party A for the copyright transfer (author's remuneration)</w:t>
      </w:r>
      <w:r>
        <w:rPr>
          <w:rFonts w:hint="eastAsia" w:ascii="Arial" w:hAnsi="Arial" w:cs="Arial"/>
        </w:rPr>
        <w:t xml:space="preserve"> </w:t>
      </w:r>
      <w:r>
        <w:rPr>
          <w:rFonts w:ascii="Arial" w:hAnsi="Arial" w:cs="Arial"/>
        </w:rPr>
        <w:t>and will provide two complimentary copies of that journal issue.</w:t>
      </w:r>
    </w:p>
    <w:p w14:paraId="5E03E108">
      <w:pPr>
        <w:numPr>
          <w:ilvl w:val="0"/>
          <w:numId w:val="1"/>
        </w:numPr>
        <w:jc w:val="both"/>
        <w:rPr>
          <w:rFonts w:ascii="Arial" w:hAnsi="Arial" w:cs="Arial"/>
        </w:rPr>
      </w:pPr>
      <w:r>
        <w:rPr>
          <w:rFonts w:ascii="Arial" w:hAnsi="Arial" w:cs="Arial"/>
        </w:rPr>
        <w:t>This contract shall be terminated under any of the following circumstances, and the breaching party shall be liable for any losses caused to the other party:</w:t>
      </w:r>
    </w:p>
    <w:p w14:paraId="55DCDF79">
      <w:pPr>
        <w:numPr>
          <w:ilvl w:val="1"/>
          <w:numId w:val="1"/>
        </w:numPr>
        <w:jc w:val="both"/>
        <w:rPr>
          <w:rFonts w:ascii="Arial" w:hAnsi="Arial" w:cs="Arial"/>
        </w:rPr>
      </w:pPr>
      <w:r>
        <w:rPr>
          <w:rFonts w:ascii="Arial" w:hAnsi="Arial" w:cs="Arial"/>
        </w:rPr>
        <w:t xml:space="preserve">Simultaneous submission of the </w:t>
      </w:r>
      <w:r>
        <w:rPr>
          <w:rFonts w:hint="eastAsia" w:ascii="Arial" w:hAnsi="Arial" w:cs="Arial"/>
        </w:rPr>
        <w:t>article</w:t>
      </w:r>
      <w:r>
        <w:rPr>
          <w:rFonts w:ascii="Arial" w:hAnsi="Arial" w:cs="Arial"/>
        </w:rPr>
        <w:t xml:space="preserve"> to multiple publishers;</w:t>
      </w:r>
    </w:p>
    <w:p w14:paraId="1576108F">
      <w:pPr>
        <w:numPr>
          <w:ilvl w:val="1"/>
          <w:numId w:val="1"/>
        </w:numPr>
        <w:jc w:val="both"/>
        <w:rPr>
          <w:rFonts w:ascii="Arial" w:hAnsi="Arial" w:cs="Arial"/>
        </w:rPr>
      </w:pPr>
      <w:r>
        <w:rPr>
          <w:rFonts w:ascii="Arial" w:hAnsi="Arial" w:cs="Arial"/>
        </w:rPr>
        <w:t xml:space="preserve">Infringement due to violation of Article 16, Paragraph 1 of the </w:t>
      </w:r>
      <w:r>
        <w:rPr>
          <w:rFonts w:ascii="Arial" w:hAnsi="Arial" w:cs="Arial"/>
          <w:i/>
          <w:iCs/>
        </w:rPr>
        <w:t>Copyright Law</w:t>
      </w:r>
      <w:r>
        <w:rPr>
          <w:rFonts w:ascii="Arial" w:hAnsi="Arial" w:cs="Arial"/>
        </w:rPr>
        <w:t>;</w:t>
      </w:r>
    </w:p>
    <w:p w14:paraId="6D65EB21">
      <w:pPr>
        <w:numPr>
          <w:ilvl w:val="1"/>
          <w:numId w:val="1"/>
        </w:numPr>
        <w:jc w:val="both"/>
        <w:rPr>
          <w:rFonts w:ascii="Arial" w:hAnsi="Arial" w:cs="Arial"/>
        </w:rPr>
      </w:pPr>
      <w:r>
        <w:rPr>
          <w:rFonts w:ascii="Arial" w:hAnsi="Arial" w:cs="Arial"/>
        </w:rPr>
        <w:t>Breach of any terms specified in Articles 1–</w:t>
      </w:r>
      <w:r>
        <w:rPr>
          <w:rFonts w:hint="eastAsia" w:ascii="Arial" w:hAnsi="Arial" w:cs="Arial"/>
        </w:rPr>
        <w:t>5</w:t>
      </w:r>
      <w:r>
        <w:rPr>
          <w:rFonts w:ascii="Arial" w:hAnsi="Arial" w:cs="Arial"/>
        </w:rPr>
        <w:t xml:space="preserve"> of this contract;</w:t>
      </w:r>
    </w:p>
    <w:p w14:paraId="79FA3F21">
      <w:pPr>
        <w:numPr>
          <w:ilvl w:val="1"/>
          <w:numId w:val="1"/>
        </w:numPr>
        <w:jc w:val="both"/>
        <w:rPr>
          <w:rFonts w:ascii="Arial" w:hAnsi="Arial" w:cs="Arial"/>
        </w:rPr>
      </w:pPr>
      <w:r>
        <w:rPr>
          <w:rFonts w:ascii="Arial" w:hAnsi="Arial" w:cs="Arial"/>
        </w:rPr>
        <w:t>Any other acts violating laws, regulations, or the public interest.</w:t>
      </w:r>
    </w:p>
    <w:p w14:paraId="1054D5CB">
      <w:pPr>
        <w:numPr>
          <w:ilvl w:val="0"/>
          <w:numId w:val="1"/>
        </w:numPr>
        <w:jc w:val="both"/>
        <w:rPr>
          <w:rFonts w:ascii="Arial" w:hAnsi="Arial" w:cs="Arial"/>
        </w:rPr>
      </w:pPr>
      <w:r>
        <w:rPr>
          <w:rFonts w:ascii="Arial" w:hAnsi="Arial" w:cs="Arial"/>
        </w:rPr>
        <w:t xml:space="preserve">This contract takes effect from the date of signing (or stamping) by both parties and remains valid until December 31 of the 10th year following the first publication of the work in </w:t>
      </w:r>
      <w:r>
        <w:rPr>
          <w:rFonts w:ascii="Arial" w:hAnsi="Arial" w:cs="Arial"/>
          <w:i/>
          <w:iCs/>
        </w:rPr>
        <w:t xml:space="preserve">Southern Power </w:t>
      </w:r>
      <w:r>
        <w:rPr>
          <w:rFonts w:hint="eastAsia" w:ascii="Arial" w:hAnsi="Arial" w:cs="Arial"/>
          <w:i/>
          <w:iCs/>
        </w:rPr>
        <w:t>System</w:t>
      </w:r>
      <w:r>
        <w:rPr>
          <w:rFonts w:ascii="Arial" w:hAnsi="Arial" w:cs="Arial"/>
          <w:i/>
          <w:iCs/>
        </w:rPr>
        <w:t xml:space="preserve"> Technology</w:t>
      </w:r>
      <w:r>
        <w:rPr>
          <w:rFonts w:ascii="Arial" w:hAnsi="Arial" w:cs="Arial"/>
        </w:rPr>
        <w:t>.</w:t>
      </w:r>
      <w:r>
        <w:rPr>
          <w:rFonts w:ascii="Arial" w:hAnsi="Arial" w:cs="Arial"/>
        </w:rPr>
        <w:br w:type="textWrapping"/>
      </w:r>
      <w:r>
        <w:rPr>
          <w:rFonts w:ascii="Arial" w:hAnsi="Arial" w:cs="Arial"/>
          <w:b/>
          <w:bCs/>
        </w:rPr>
        <w:t>Territorial scope of the contract: Worldwide.</w:t>
      </w:r>
    </w:p>
    <w:p w14:paraId="219A8984">
      <w:pPr>
        <w:numPr>
          <w:ilvl w:val="0"/>
          <w:numId w:val="1"/>
        </w:numPr>
        <w:jc w:val="both"/>
        <w:rPr>
          <w:rFonts w:ascii="Arial" w:hAnsi="Arial" w:cs="Arial"/>
        </w:rPr>
      </w:pPr>
      <w:r>
        <w:rPr>
          <w:rFonts w:ascii="Arial" w:hAnsi="Arial" w:cs="Arial"/>
        </w:rPr>
        <w:t>This contract is made in two copies, with each party holding one copy. Both copies have equal legal effect.</w:t>
      </w:r>
    </w:p>
    <w:p w14:paraId="409A4C58">
      <w:pPr>
        <w:numPr>
          <w:ilvl w:val="0"/>
          <w:numId w:val="1"/>
        </w:numPr>
        <w:jc w:val="both"/>
        <w:rPr>
          <w:rFonts w:ascii="Arial" w:hAnsi="Arial" w:cs="Arial"/>
        </w:rPr>
      </w:pPr>
      <w:r>
        <w:rPr>
          <w:rFonts w:ascii="Arial" w:hAnsi="Arial" w:cs="Arial"/>
        </w:rPr>
        <w:t xml:space="preserve">Any matters not covered herein shall be handled in accordance with the </w:t>
      </w:r>
      <w:r>
        <w:rPr>
          <w:rFonts w:ascii="Arial" w:hAnsi="Arial" w:cs="Arial"/>
          <w:i/>
          <w:iCs/>
        </w:rPr>
        <w:t>Copyright Law of the People's Republic of China</w:t>
      </w:r>
      <w:r>
        <w:rPr>
          <w:rFonts w:ascii="Arial" w:hAnsi="Arial" w:cs="Arial"/>
        </w:rPr>
        <w:t xml:space="preserve"> and relevant laws and regulations.</w:t>
      </w:r>
    </w:p>
    <w:p w14:paraId="7A6F9911">
      <w:pPr>
        <w:jc w:val="both"/>
        <w:rPr>
          <w:rFonts w:ascii="Arial" w:hAnsi="Arial" w:cs="Arial"/>
        </w:rPr>
      </w:pPr>
      <w:r>
        <w:rPr>
          <w:rFonts w:ascii="Arial" w:hAnsi="Arial" w:cs="Arial"/>
          <w:b/>
          <w:bCs/>
        </w:rPr>
        <w:t>Party A (All Authors):</w:t>
      </w:r>
      <w:r>
        <w:rPr>
          <w:rFonts w:ascii="Arial" w:hAnsi="Arial" w:cs="Arial"/>
        </w:rPr>
        <w:t xml:space="preserve"> </w:t>
      </w:r>
    </w:p>
    <w:p w14:paraId="26501DDC">
      <w:pPr>
        <w:jc w:val="both"/>
        <w:rPr>
          <w:rFonts w:ascii="Arial" w:hAnsi="Arial" w:cs="Arial"/>
        </w:rPr>
      </w:pPr>
    </w:p>
    <w:p w14:paraId="6A963DFC">
      <w:pPr>
        <w:jc w:val="both"/>
        <w:rPr>
          <w:rFonts w:ascii="Arial" w:hAnsi="Arial" w:cs="Arial"/>
          <w:b/>
          <w:bCs/>
        </w:rPr>
      </w:pPr>
      <w:r>
        <w:rPr>
          <w:rFonts w:ascii="Arial" w:hAnsi="Arial" w:cs="Arial"/>
          <w:b/>
          <w:bCs/>
        </w:rPr>
        <w:t>Date:</w:t>
      </w:r>
    </w:p>
    <w:p w14:paraId="20D4EE2D">
      <w:pPr>
        <w:jc w:val="both"/>
        <w:rPr>
          <w:rFonts w:ascii="Arial" w:hAnsi="Arial" w:cs="Arial"/>
          <w:i/>
          <w:iCs/>
        </w:rPr>
      </w:pPr>
      <w:r>
        <w:rPr>
          <w:rFonts w:ascii="Arial" w:hAnsi="Arial" w:cs="Arial"/>
          <w:b/>
          <w:bCs/>
        </w:rPr>
        <w:t>Party B:</w:t>
      </w:r>
      <w:r>
        <w:rPr>
          <w:rFonts w:ascii="Arial" w:hAnsi="Arial" w:cs="Arial"/>
        </w:rPr>
        <w:t xml:space="preserve"> Editorial </w:t>
      </w:r>
      <w:r>
        <w:rPr>
          <w:rFonts w:hint="eastAsia" w:ascii="Arial" w:hAnsi="Arial" w:cs="Arial"/>
        </w:rPr>
        <w:t>Department</w:t>
      </w:r>
      <w:r>
        <w:rPr>
          <w:rFonts w:ascii="Arial" w:hAnsi="Arial" w:cs="Arial"/>
        </w:rPr>
        <w:t xml:space="preserve"> of </w:t>
      </w:r>
      <w:r>
        <w:rPr>
          <w:rFonts w:ascii="Arial" w:hAnsi="Arial" w:cs="Arial"/>
          <w:i/>
          <w:iCs/>
        </w:rPr>
        <w:t xml:space="preserve">Southern Power </w:t>
      </w:r>
      <w:r>
        <w:rPr>
          <w:rFonts w:hint="eastAsia" w:ascii="Arial" w:hAnsi="Arial" w:cs="Arial"/>
          <w:i/>
          <w:iCs/>
        </w:rPr>
        <w:t>System</w:t>
      </w:r>
      <w:r>
        <w:rPr>
          <w:rFonts w:ascii="Arial" w:hAnsi="Arial" w:cs="Arial"/>
          <w:i/>
          <w:iCs/>
        </w:rPr>
        <w:t xml:space="preserve"> Technology</w:t>
      </w:r>
      <w:r>
        <w:rPr>
          <w:rFonts w:hint="eastAsia" w:ascii="Arial" w:hAnsi="Arial" w:cs="Arial"/>
          <w:i/>
          <w:iCs/>
        </w:rPr>
        <w:t xml:space="preserve"> </w:t>
      </w:r>
    </w:p>
    <w:p w14:paraId="23C1F0F7">
      <w:pPr>
        <w:jc w:val="both"/>
        <w:rPr>
          <w:rFonts w:ascii="Arial" w:hAnsi="Arial" w:cs="Arial"/>
        </w:rPr>
      </w:pPr>
      <w:r>
        <w:rPr>
          <w:rFonts w:hint="eastAsia" w:ascii="Arial" w:hAnsi="Arial" w:cs="Arial"/>
        </w:rPr>
        <w:t>(</w:t>
      </w:r>
      <w:r>
        <w:rPr>
          <w:rFonts w:ascii="Arial" w:hAnsi="Arial" w:cs="Arial"/>
        </w:rPr>
        <w:t>Stamp</w:t>
      </w:r>
      <w:r>
        <w:rPr>
          <w:rFonts w:hint="eastAsia" w:ascii="Arial" w:hAnsi="Arial" w:cs="Arial"/>
        </w:rPr>
        <w:t>)</w:t>
      </w:r>
    </w:p>
    <w:p w14:paraId="62460B8B">
      <w:pPr>
        <w:jc w:val="both"/>
        <w:rPr>
          <w:rFonts w:ascii="Arial" w:hAnsi="Arial" w:cs="Arial"/>
        </w:rPr>
      </w:pPr>
    </w:p>
    <w:p w14:paraId="3435CF34">
      <w:pPr>
        <w:jc w:val="both"/>
        <w:rPr>
          <w:rFonts w:ascii="Arial" w:hAnsi="Arial" w:cs="Arial"/>
          <w:b/>
          <w:bCs/>
        </w:rPr>
      </w:pPr>
      <w:r>
        <w:rPr>
          <w:rFonts w:ascii="Arial" w:hAnsi="Arial" w:cs="Arial"/>
          <w:b/>
          <w:bCs/>
        </w:rPr>
        <w:t>Date:</w:t>
      </w: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Arial">
    <w:panose1 w:val="020B0604020202020204"/>
    <w:charset w:val="00"/>
    <w:family w:val="swiss"/>
    <w:pitch w:val="default"/>
    <w:sig w:usb0="E0002EFF" w:usb1="C000785B" w:usb2="00000009" w:usb3="00000000" w:csb0="400001FF" w:csb1="FFFF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663152"/>
    <w:multiLevelType w:val="multilevel"/>
    <w:tmpl w:val="41663152"/>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rPr>
        <w:rFonts w:ascii="Arial" w:hAnsi="Arial" w:cs="Arial" w:eastAsiaTheme="minorEastAsia"/>
      </w:r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2DC4"/>
    <w:rsid w:val="000964B9"/>
    <w:rsid w:val="000B1C5D"/>
    <w:rsid w:val="000F2AB2"/>
    <w:rsid w:val="002140E5"/>
    <w:rsid w:val="00321DAC"/>
    <w:rsid w:val="003263FF"/>
    <w:rsid w:val="003840F6"/>
    <w:rsid w:val="004974B2"/>
    <w:rsid w:val="00554DC1"/>
    <w:rsid w:val="00562B56"/>
    <w:rsid w:val="00612DC4"/>
    <w:rsid w:val="00693115"/>
    <w:rsid w:val="006F5927"/>
    <w:rsid w:val="00705869"/>
    <w:rsid w:val="007454AA"/>
    <w:rsid w:val="008263E6"/>
    <w:rsid w:val="008E085F"/>
    <w:rsid w:val="008E7037"/>
    <w:rsid w:val="008F0845"/>
    <w:rsid w:val="00923821"/>
    <w:rsid w:val="00962EBB"/>
    <w:rsid w:val="00980430"/>
    <w:rsid w:val="009E7278"/>
    <w:rsid w:val="009E7287"/>
    <w:rsid w:val="00A555DF"/>
    <w:rsid w:val="00AC2EAD"/>
    <w:rsid w:val="00B515FB"/>
    <w:rsid w:val="00C46AEB"/>
    <w:rsid w:val="00CB3C13"/>
    <w:rsid w:val="00CE28C8"/>
    <w:rsid w:val="00D56675"/>
    <w:rsid w:val="00D73328"/>
    <w:rsid w:val="00D95DCF"/>
    <w:rsid w:val="00DC5575"/>
    <w:rsid w:val="00E13E0F"/>
    <w:rsid w:val="00E1722F"/>
    <w:rsid w:val="00F3634C"/>
    <w:rsid w:val="00F6199A"/>
    <w:rsid w:val="00F8175D"/>
    <w:rsid w:val="00F95758"/>
    <w:rsid w:val="00FE6B3F"/>
    <w:rsid w:val="00FF4A0C"/>
    <w:rsid w:val="447D58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styleId="2">
    <w:name w:val="heading 1"/>
    <w:basedOn w:val="1"/>
    <w:next w:val="1"/>
    <w:link w:val="17"/>
    <w:qFormat/>
    <w:uiPriority w:val="9"/>
    <w:pPr>
      <w:keepNext/>
      <w:keepLines/>
      <w:spacing w:before="480" w:after="80"/>
      <w:outlineLvl w:val="0"/>
    </w:pPr>
    <w:rPr>
      <w:rFonts w:asciiTheme="majorHAnsi" w:hAnsiTheme="majorHAnsi" w:eastAsiaTheme="majorEastAsia" w:cstheme="majorBidi"/>
      <w:color w:val="2F5597" w:themeColor="accent1" w:themeShade="BF"/>
      <w:sz w:val="48"/>
      <w:szCs w:val="48"/>
    </w:rPr>
  </w:style>
  <w:style w:type="paragraph" w:styleId="3">
    <w:name w:val="heading 2"/>
    <w:basedOn w:val="1"/>
    <w:next w:val="1"/>
    <w:link w:val="18"/>
    <w:semiHidden/>
    <w:unhideWhenUsed/>
    <w:qFormat/>
    <w:uiPriority w:val="9"/>
    <w:pPr>
      <w:keepNext/>
      <w:keepLines/>
      <w:spacing w:before="160" w:after="80"/>
      <w:outlineLvl w:val="1"/>
    </w:pPr>
    <w:rPr>
      <w:rFonts w:asciiTheme="majorHAnsi" w:hAnsiTheme="majorHAnsi" w:eastAsiaTheme="majorEastAsia" w:cstheme="majorBidi"/>
      <w:color w:val="2F5597" w:themeColor="accent1" w:themeShade="BF"/>
      <w:sz w:val="40"/>
      <w:szCs w:val="40"/>
    </w:rPr>
  </w:style>
  <w:style w:type="paragraph" w:styleId="4">
    <w:name w:val="heading 3"/>
    <w:basedOn w:val="1"/>
    <w:next w:val="1"/>
    <w:link w:val="19"/>
    <w:semiHidden/>
    <w:unhideWhenUsed/>
    <w:qFormat/>
    <w:uiPriority w:val="9"/>
    <w:pPr>
      <w:keepNext/>
      <w:keepLines/>
      <w:spacing w:before="160" w:after="80"/>
      <w:outlineLvl w:val="2"/>
    </w:pPr>
    <w:rPr>
      <w:rFonts w:asciiTheme="majorHAnsi" w:hAnsiTheme="majorHAnsi" w:eastAsiaTheme="majorEastAsia" w:cstheme="majorBidi"/>
      <w:color w:val="2F5597" w:themeColor="accent1" w:themeShade="BF"/>
      <w:sz w:val="32"/>
      <w:szCs w:val="32"/>
    </w:rPr>
  </w:style>
  <w:style w:type="paragraph" w:styleId="5">
    <w:name w:val="heading 4"/>
    <w:basedOn w:val="1"/>
    <w:next w:val="1"/>
    <w:link w:val="20"/>
    <w:semiHidden/>
    <w:unhideWhenUsed/>
    <w:qFormat/>
    <w:uiPriority w:val="9"/>
    <w:pPr>
      <w:keepNext/>
      <w:keepLines/>
      <w:spacing w:before="80" w:after="40"/>
      <w:outlineLvl w:val="3"/>
    </w:pPr>
    <w:rPr>
      <w:rFonts w:cstheme="majorBidi"/>
      <w:color w:val="2F5597" w:themeColor="accent1" w:themeShade="BF"/>
      <w:sz w:val="28"/>
      <w:szCs w:val="28"/>
    </w:rPr>
  </w:style>
  <w:style w:type="paragraph" w:styleId="6">
    <w:name w:val="heading 5"/>
    <w:basedOn w:val="1"/>
    <w:next w:val="1"/>
    <w:link w:val="21"/>
    <w:semiHidden/>
    <w:unhideWhenUsed/>
    <w:qFormat/>
    <w:uiPriority w:val="9"/>
    <w:pPr>
      <w:keepNext/>
      <w:keepLines/>
      <w:spacing w:before="80" w:after="40"/>
      <w:outlineLvl w:val="4"/>
    </w:pPr>
    <w:rPr>
      <w:rFonts w:cstheme="majorBidi"/>
      <w:color w:val="2F5597" w:themeColor="accent1" w:themeShade="BF"/>
      <w:sz w:val="24"/>
    </w:rPr>
  </w:style>
  <w:style w:type="paragraph" w:styleId="7">
    <w:name w:val="heading 6"/>
    <w:basedOn w:val="1"/>
    <w:next w:val="1"/>
    <w:link w:val="22"/>
    <w:semiHidden/>
    <w:unhideWhenUsed/>
    <w:qFormat/>
    <w:uiPriority w:val="9"/>
    <w:pPr>
      <w:keepNext/>
      <w:keepLines/>
      <w:spacing w:before="40" w:after="0"/>
      <w:outlineLvl w:val="5"/>
    </w:pPr>
    <w:rPr>
      <w:rFonts w:cstheme="majorBidi"/>
      <w:b/>
      <w:bCs/>
      <w:color w:val="2F5597" w:themeColor="accent1" w:themeShade="BF"/>
    </w:rPr>
  </w:style>
  <w:style w:type="paragraph" w:styleId="8">
    <w:name w:val="heading 7"/>
    <w:basedOn w:val="1"/>
    <w:next w:val="1"/>
    <w:link w:val="23"/>
    <w:semiHidden/>
    <w:unhideWhenUsed/>
    <w:qFormat/>
    <w:uiPriority w:val="9"/>
    <w:pPr>
      <w:keepNext/>
      <w:keepLines/>
      <w:spacing w:before="40" w:after="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4"/>
    <w:semiHidden/>
    <w:unhideWhenUsed/>
    <w:qFormat/>
    <w:uiPriority w:val="9"/>
    <w:pPr>
      <w:keepNext/>
      <w:keepLines/>
      <w:spacing w:after="0"/>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25"/>
    <w:semiHidden/>
    <w:unhideWhenUsed/>
    <w:qFormat/>
    <w:uiPriority w:val="9"/>
    <w:pPr>
      <w:keepNext/>
      <w:keepLines/>
      <w:spacing w:after="0"/>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6">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1">
    <w:name w:val="footer"/>
    <w:basedOn w:val="1"/>
    <w:link w:val="36"/>
    <w:unhideWhenUsed/>
    <w:qFormat/>
    <w:uiPriority w:val="99"/>
    <w:pPr>
      <w:tabs>
        <w:tab w:val="center" w:pos="4153"/>
        <w:tab w:val="right" w:pos="8306"/>
      </w:tabs>
      <w:snapToGrid w:val="0"/>
      <w:spacing w:line="240" w:lineRule="auto"/>
    </w:pPr>
    <w:rPr>
      <w:sz w:val="18"/>
      <w:szCs w:val="18"/>
    </w:rPr>
  </w:style>
  <w:style w:type="paragraph" w:styleId="12">
    <w:name w:val="header"/>
    <w:basedOn w:val="1"/>
    <w:link w:val="35"/>
    <w:unhideWhenUsed/>
    <w:qFormat/>
    <w:uiPriority w:val="99"/>
    <w:pPr>
      <w:tabs>
        <w:tab w:val="center" w:pos="4153"/>
        <w:tab w:val="right" w:pos="8306"/>
      </w:tabs>
      <w:snapToGrid w:val="0"/>
      <w:spacing w:line="240" w:lineRule="auto"/>
      <w:jc w:val="center"/>
    </w:pPr>
    <w:rPr>
      <w:sz w:val="18"/>
      <w:szCs w:val="18"/>
    </w:rPr>
  </w:style>
  <w:style w:type="paragraph" w:styleId="13">
    <w:name w:val="Subtitle"/>
    <w:basedOn w:val="1"/>
    <w:next w:val="1"/>
    <w:link w:val="27"/>
    <w:qFormat/>
    <w:uiPriority w:val="11"/>
    <w:pPr>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4">
    <w:name w:val="Title"/>
    <w:basedOn w:val="1"/>
    <w:next w:val="1"/>
    <w:link w:val="26"/>
    <w:qFormat/>
    <w:uiPriority w:val="10"/>
    <w:pPr>
      <w:spacing w:after="80" w:line="240" w:lineRule="auto"/>
      <w:contextualSpacing/>
      <w:jc w:val="center"/>
    </w:pPr>
    <w:rPr>
      <w:rFonts w:asciiTheme="majorHAnsi" w:hAnsiTheme="majorHAnsi" w:eastAsiaTheme="majorEastAsia" w:cstheme="majorBidi"/>
      <w:spacing w:val="-10"/>
      <w:kern w:val="28"/>
      <w:sz w:val="56"/>
      <w:szCs w:val="56"/>
    </w:rPr>
  </w:style>
  <w:style w:type="character" w:customStyle="1" w:styleId="17">
    <w:name w:val="标题 1 字符"/>
    <w:basedOn w:val="16"/>
    <w:link w:val="2"/>
    <w:qFormat/>
    <w:uiPriority w:val="9"/>
    <w:rPr>
      <w:rFonts w:asciiTheme="majorHAnsi" w:hAnsiTheme="majorHAnsi" w:eastAsiaTheme="majorEastAsia" w:cstheme="majorBidi"/>
      <w:color w:val="2F5597" w:themeColor="accent1" w:themeShade="BF"/>
      <w:sz w:val="48"/>
      <w:szCs w:val="48"/>
    </w:rPr>
  </w:style>
  <w:style w:type="character" w:customStyle="1" w:styleId="18">
    <w:name w:val="标题 2 字符"/>
    <w:basedOn w:val="16"/>
    <w:link w:val="3"/>
    <w:semiHidden/>
    <w:qFormat/>
    <w:uiPriority w:val="9"/>
    <w:rPr>
      <w:rFonts w:asciiTheme="majorHAnsi" w:hAnsiTheme="majorHAnsi" w:eastAsiaTheme="majorEastAsia" w:cstheme="majorBidi"/>
      <w:color w:val="2F5597" w:themeColor="accent1" w:themeShade="BF"/>
      <w:sz w:val="40"/>
      <w:szCs w:val="40"/>
    </w:rPr>
  </w:style>
  <w:style w:type="character" w:customStyle="1" w:styleId="19">
    <w:name w:val="标题 3 字符"/>
    <w:basedOn w:val="16"/>
    <w:link w:val="4"/>
    <w:semiHidden/>
    <w:qFormat/>
    <w:uiPriority w:val="9"/>
    <w:rPr>
      <w:rFonts w:asciiTheme="majorHAnsi" w:hAnsiTheme="majorHAnsi" w:eastAsiaTheme="majorEastAsia" w:cstheme="majorBidi"/>
      <w:color w:val="2F5597" w:themeColor="accent1" w:themeShade="BF"/>
      <w:sz w:val="32"/>
      <w:szCs w:val="32"/>
    </w:rPr>
  </w:style>
  <w:style w:type="character" w:customStyle="1" w:styleId="20">
    <w:name w:val="标题 4 字符"/>
    <w:basedOn w:val="16"/>
    <w:link w:val="5"/>
    <w:semiHidden/>
    <w:qFormat/>
    <w:uiPriority w:val="9"/>
    <w:rPr>
      <w:rFonts w:cstheme="majorBidi"/>
      <w:color w:val="2F5597" w:themeColor="accent1" w:themeShade="BF"/>
      <w:sz w:val="28"/>
      <w:szCs w:val="28"/>
    </w:rPr>
  </w:style>
  <w:style w:type="character" w:customStyle="1" w:styleId="21">
    <w:name w:val="标题 5 字符"/>
    <w:basedOn w:val="16"/>
    <w:link w:val="6"/>
    <w:semiHidden/>
    <w:qFormat/>
    <w:uiPriority w:val="9"/>
    <w:rPr>
      <w:rFonts w:cstheme="majorBidi"/>
      <w:color w:val="2F5597" w:themeColor="accent1" w:themeShade="BF"/>
      <w:sz w:val="24"/>
    </w:rPr>
  </w:style>
  <w:style w:type="character" w:customStyle="1" w:styleId="22">
    <w:name w:val="标题 6 字符"/>
    <w:basedOn w:val="16"/>
    <w:link w:val="7"/>
    <w:semiHidden/>
    <w:qFormat/>
    <w:uiPriority w:val="9"/>
    <w:rPr>
      <w:rFonts w:cstheme="majorBidi"/>
      <w:b/>
      <w:bCs/>
      <w:color w:val="2F5597" w:themeColor="accent1" w:themeShade="BF"/>
    </w:rPr>
  </w:style>
  <w:style w:type="character" w:customStyle="1" w:styleId="23">
    <w:name w:val="标题 7 字符"/>
    <w:basedOn w:val="16"/>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4">
    <w:name w:val="标题 8 字符"/>
    <w:basedOn w:val="16"/>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5">
    <w:name w:val="标题 9 字符"/>
    <w:basedOn w:val="16"/>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6">
    <w:name w:val="标题 字符"/>
    <w:basedOn w:val="16"/>
    <w:link w:val="14"/>
    <w:qFormat/>
    <w:uiPriority w:val="10"/>
    <w:rPr>
      <w:rFonts w:asciiTheme="majorHAnsi" w:hAnsiTheme="majorHAnsi" w:eastAsiaTheme="majorEastAsia" w:cstheme="majorBidi"/>
      <w:spacing w:val="-10"/>
      <w:kern w:val="28"/>
      <w:sz w:val="56"/>
      <w:szCs w:val="56"/>
    </w:rPr>
  </w:style>
  <w:style w:type="character" w:customStyle="1" w:styleId="27">
    <w:name w:val="副标题 字符"/>
    <w:basedOn w:val="16"/>
    <w:link w:val="13"/>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8">
    <w:name w:val="Quote"/>
    <w:basedOn w:val="1"/>
    <w:next w:val="1"/>
    <w:link w:val="29"/>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29">
    <w:name w:val="引用 字符"/>
    <w:basedOn w:val="16"/>
    <w:link w:val="28"/>
    <w:qFormat/>
    <w:uiPriority w:val="29"/>
    <w:rPr>
      <w:i/>
      <w:iCs/>
      <w:color w:val="404040" w:themeColor="text1" w:themeTint="BF"/>
      <w14:textFill>
        <w14:solidFill>
          <w14:schemeClr w14:val="tx1">
            <w14:lumMod w14:val="75000"/>
            <w14:lumOff w14:val="25000"/>
          </w14:schemeClr>
        </w14:solidFill>
      </w14:textFill>
    </w:rPr>
  </w:style>
  <w:style w:type="paragraph" w:styleId="30">
    <w:name w:val="List Paragraph"/>
    <w:basedOn w:val="1"/>
    <w:qFormat/>
    <w:uiPriority w:val="34"/>
    <w:pPr>
      <w:ind w:left="720"/>
      <w:contextualSpacing/>
    </w:pPr>
  </w:style>
  <w:style w:type="character" w:customStyle="1" w:styleId="31">
    <w:name w:val="Intense Emphasis"/>
    <w:basedOn w:val="16"/>
    <w:qFormat/>
    <w:uiPriority w:val="21"/>
    <w:rPr>
      <w:i/>
      <w:iCs/>
      <w:color w:val="2F5597" w:themeColor="accent1" w:themeShade="BF"/>
    </w:rPr>
  </w:style>
  <w:style w:type="paragraph" w:styleId="32">
    <w:name w:val="Intense Quote"/>
    <w:basedOn w:val="1"/>
    <w:next w:val="1"/>
    <w:link w:val="33"/>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33">
    <w:name w:val="明显引用 字符"/>
    <w:basedOn w:val="16"/>
    <w:link w:val="32"/>
    <w:qFormat/>
    <w:uiPriority w:val="30"/>
    <w:rPr>
      <w:i/>
      <w:iCs/>
      <w:color w:val="2F5597" w:themeColor="accent1" w:themeShade="BF"/>
    </w:rPr>
  </w:style>
  <w:style w:type="character" w:customStyle="1" w:styleId="34">
    <w:name w:val="Intense Reference"/>
    <w:basedOn w:val="16"/>
    <w:qFormat/>
    <w:uiPriority w:val="32"/>
    <w:rPr>
      <w:b/>
      <w:bCs/>
      <w:smallCaps/>
      <w:color w:val="2F5597" w:themeColor="accent1" w:themeShade="BF"/>
      <w:spacing w:val="5"/>
    </w:rPr>
  </w:style>
  <w:style w:type="character" w:customStyle="1" w:styleId="35">
    <w:name w:val="页眉 字符"/>
    <w:basedOn w:val="16"/>
    <w:link w:val="12"/>
    <w:qFormat/>
    <w:uiPriority w:val="99"/>
    <w:rPr>
      <w:sz w:val="18"/>
      <w:szCs w:val="18"/>
    </w:rPr>
  </w:style>
  <w:style w:type="character" w:customStyle="1" w:styleId="36">
    <w:name w:val="页脚 字符"/>
    <w:basedOn w:val="16"/>
    <w:link w:val="11"/>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570</Words>
  <Characters>3126</Characters>
  <Lines>65</Lines>
  <Paragraphs>27</Paragraphs>
  <TotalTime>0</TotalTime>
  <ScaleCrop>false</ScaleCrop>
  <LinksUpToDate>false</LinksUpToDate>
  <CharactersWithSpaces>3726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2025-04-24T10:00:00Z</dcterms:created>
  <dc:creator>科置科学-舒琦</dc:creator>
  <cp:lastModifiedBy>Luo</cp:lastModifiedBy>
  <dcterms:modified xsi:type="dcterms:W3CDTF">2025-05-20T06:56:32Z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2d10340dee6fa9e393d6f2e60d84e6bb25683d1f6a3e35bb69fa9bab2d675e8e</vt:lpwstr>
  </property>
  <property fmtid="{D5CDD505-2E9C-101B-9397-08002B2CF9AE}" pid="3" name="KSOProductBuildVer">
    <vt:lpwstr>2052-12.1.0.20784</vt:lpwstr>
  </property>
  <property fmtid="{D5CDD505-2E9C-101B-9397-08002B2CF9AE}" pid="4" name="ICV">
    <vt:lpwstr>26300694F4614E298FE28F4C43511B28_13</vt:lpwstr>
  </property>
</Properties>
</file>